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p>
    <w:p>
      <w:pPr>
        <w:tabs>
          <w:tab w:val="center" w:pos="4535"/>
        </w:tabs>
        <w:spacing w:line="500" w:lineRule="exact"/>
        <w:ind w:right="-334" w:rightChars="-159"/>
        <w:jc w:val="left"/>
        <w:rPr>
          <w:rFonts w:hint="eastAsia"/>
          <w:sz w:val="40"/>
          <w:szCs w:val="40"/>
        </w:rPr>
      </w:pPr>
      <w:r>
        <w:rPr>
          <w:rFonts w:hint="eastAsia" w:ascii="楷体_GB2312" w:eastAsia="楷体_GB2312"/>
          <w:sz w:val="44"/>
        </w:rPr>
        <w:pict>
          <v:shape id="_x0000_s1034" o:spid="_x0000_s1034" o:spt="136" type="#_x0000_t136" style="position:absolute;left:0pt;margin-left:16pt;margin-top:13.5pt;height:63.8pt;width:336.1pt;z-index:251661312;mso-width-relative:page;mso-height-relative:page;" fillcolor="#FF0000" filled="t" stroked="t" coordsize="21600,21600">
            <v:path/>
            <v:fill on="t" focussize="0,0"/>
            <v:stroke color="#FF0000"/>
            <v:imagedata o:title=""/>
            <o:lock v:ext="edit"/>
            <v:textpath on="t" fitshape="t" fitpath="t" trim="t" xscale="f" string="共青团岳阳市委 " style="font-family:方正小标宋简体;font-size:96pt;v-rotate-letters:f;v-same-letter-heights:f;v-text-align:center;"/>
          </v:shape>
        </w:pict>
      </w:r>
      <w:r>
        <w:rPr>
          <w:rFonts w:hint="eastAsia" w:ascii="楷体_GB2312" w:eastAsia="楷体_GB2312"/>
          <w:sz w:val="44"/>
          <w:lang w:val="en-US" w:eastAsia="zh-CN"/>
        </w:rPr>
        <w:t xml:space="preserve">  </w:t>
      </w:r>
      <w:r>
        <w:rPr>
          <w:rFonts w:hint="eastAsia" w:ascii="楷体_GB2312" w:eastAsia="楷体_GB2312"/>
          <w:sz w:val="44"/>
        </w:rPr>
        <w:t xml:space="preserve">           </w:t>
      </w:r>
      <w:r>
        <w:rPr>
          <w:rFonts w:ascii="方正大标宋简体" w:eastAsia="方正大标宋简体"/>
          <w:b/>
          <w:color w:val="FF0000"/>
          <w:spacing w:val="20"/>
          <w:w w:val="80"/>
          <w:sz w:val="106"/>
          <w:szCs w:val="100"/>
        </w:rPr>
        <w:tab/>
      </w:r>
      <w:r>
        <w:rPr>
          <w:rFonts w:hint="eastAsia" w:ascii="方正大标宋简体" w:eastAsia="方正大标宋简体"/>
          <w:b/>
          <w:color w:val="FF0000"/>
          <w:spacing w:val="20"/>
          <w:w w:val="80"/>
          <w:sz w:val="106"/>
          <w:szCs w:val="100"/>
        </w:rPr>
        <w:t xml:space="preserve">     </w:t>
      </w:r>
      <w:r>
        <w:rPr>
          <w:rFonts w:ascii="方正大标宋简体" w:eastAsia="方正大标宋简体"/>
          <w:b/>
          <w:color w:val="FF0000"/>
          <w:spacing w:val="20"/>
          <w:w w:val="80"/>
          <w:sz w:val="106"/>
          <w:szCs w:val="100"/>
        </w:rPr>
        <w:tab/>
      </w:r>
    </w:p>
    <w:p>
      <w:pPr>
        <w:rPr>
          <w:rFonts w:hint="eastAsia" w:ascii="方正大标宋简体" w:eastAsia="方正大标宋简体"/>
          <w:b/>
          <w:color w:val="FF0000"/>
          <w:spacing w:val="20"/>
          <w:w w:val="80"/>
          <w:sz w:val="106"/>
          <w:szCs w:val="100"/>
        </w:rPr>
      </w:pPr>
      <w:r>
        <w:rPr>
          <w:rFonts w:ascii="方正大标宋简体" w:eastAsia="方正大标宋简体"/>
          <w:b/>
          <w:color w:val="FF0000"/>
          <w:spacing w:val="20"/>
          <w:sz w:val="106"/>
          <w:szCs w:val="100"/>
        </w:rPr>
        <w:pict>
          <v:shape id="_x0000_s1035" o:spid="_x0000_s1035" o:spt="136" type="#_x0000_t136" style="position:absolute;left:0pt;margin-left:365.4pt;margin-top:15.6pt;height:23.7pt;width:44.25pt;z-index:251660288;mso-width-relative:page;mso-height-relative:page;" fillcolor="#000000" filled="t" stroked="f" coordsize="21600,21600">
            <v:path/>
            <v:fill on="t" focussize="0,0"/>
            <v:stroke on="f" weight="0.5pt"/>
            <v:imagedata o:title=""/>
            <o:lock v:ext="edit"/>
            <v:textpath on="t" fitshape="t" fitpath="t" trim="t" xscale="f" string="通知" style="font-family:仿宋_GB2312;font-size:24pt;v-rotate-letters:f;v-same-letter-heights:f;v-text-align:center;"/>
          </v:shape>
        </w:pict>
      </w:r>
      <w:r>
        <w:rPr>
          <w:rFonts w:hint="eastAsia" w:ascii="方正大标宋简体" w:eastAsia="方正大标宋简体"/>
          <w:b/>
          <w:color w:val="FF0000"/>
          <w:spacing w:val="20"/>
          <w:sz w:val="106"/>
          <w:szCs w:val="100"/>
        </w:rPr>
        <w:pict>
          <v:shape id="_x0000_s1036" o:spid="_x0000_s1036" o:spt="136" type="#_x0000_t136" style="position:absolute;left:0pt;margin-left:350.2pt;margin-top:7.7pt;height:39pt;width:76.5pt;z-index:251658240;mso-width-relative:page;mso-height-relative:page;" fillcolor="#FF0000" filled="t" stroked="f" coordsize="21600,21600">
            <v:path/>
            <v:fill on="t" focussize="0,0"/>
            <v:stroke on="f"/>
            <v:imagedata o:title=""/>
            <o:lock v:ext="edit"/>
            <v:textpath on="t" fitshape="t" fitpath="t" trim="t" xscale="f" string="（      ）" style="font-family:方正魏碑简体;font-size:36pt;font-weight:bold;v-rotate-letters:f;v-same-letter-heights:f;v-text-align:center;"/>
          </v:shape>
        </w:pict>
      </w:r>
    </w:p>
    <w:p>
      <w:pPr>
        <w:rPr>
          <w:rFonts w:hint="eastAsia"/>
          <w:u w:val="thick"/>
        </w:rPr>
      </w:pPr>
    </w:p>
    <w:p>
      <w:pPr>
        <w:rPr>
          <w:rFonts w:hint="eastAsia"/>
          <w:u w:val="thick"/>
        </w:rPr>
      </w:pPr>
    </w:p>
    <w:p>
      <w:pPr>
        <w:jc w:val="center"/>
        <w:rPr>
          <w:rFonts w:hint="eastAsia" w:ascii="仿宋_GB2312" w:eastAsia="仿宋_GB2312"/>
          <w:sz w:val="32"/>
          <w:szCs w:val="32"/>
        </w:rPr>
      </w:pPr>
      <w:r>
        <w:rPr>
          <w:rFonts w:hint="eastAsia" w:ascii="仿宋_GB2312" w:eastAsia="仿宋_GB2312"/>
          <w:sz w:val="32"/>
          <w:szCs w:val="32"/>
        </w:rPr>
        <w:t>岳团通〔201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号</w:t>
      </w:r>
    </w:p>
    <w:p>
      <w:pPr>
        <w:rPr>
          <w:rFonts w:hint="eastAsia"/>
        </w:rPr>
      </w:pPr>
      <w:r>
        <w:rPr>
          <w:rFonts w:hint="eastAsia"/>
          <w:u w:val="thick"/>
        </w:rPr>
        <w:pict>
          <v:group id="_x0000_s1037" o:spid="_x0000_s1037" o:spt="203" style="position:absolute;left:0pt;margin-left:0pt;margin-top:13pt;height:15.75pt;width:446.25pt;z-index:251659264;mso-width-relative:page;mso-height-relative:page;" coordorigin="1418,5321" coordsize="8925,315">
            <o:lock v:ext="edit"/>
            <v:line id="_x0000_s1038" o:spid="_x0000_s1038" o:spt="20" style="position:absolute;left:1418;top:5474;height:0;width:4200;" filled="f" stroked="t" coordsize="21600,21600">
              <v:path arrowok="t"/>
              <v:fill on="f" focussize="0,0"/>
              <v:stroke weight="1.5pt" color="#FF0000"/>
              <v:imagedata o:title=""/>
              <o:lock v:ext="edit"/>
            </v:line>
            <v:line id="_x0000_s1039" o:spid="_x0000_s1039" o:spt="20" style="position:absolute;left:6143;top:5474;height:0;width:4200;" filled="f" stroked="t" coordsize="21600,21600">
              <v:path arrowok="t"/>
              <v:fill on="f" focussize="0,0"/>
              <v:stroke weight="1.5pt" color="#FF0000"/>
              <v:imagedata o:title=""/>
              <o:lock v:ext="edit"/>
            </v:line>
            <v:shape id="_x0000_s1040" o:spid="_x0000_s1040" o:spt="3" type="#_x0000_t3" style="position:absolute;left:5708;top:5321;height:315;width:315;" stroked="t" coordsize="21600,21600">
              <v:path/>
              <v:fill focussize="0,0"/>
              <v:stroke weight="1.25pt" color="#FF0000"/>
              <v:imagedata o:title=""/>
              <o:lock v:ext="edit"/>
            </v:shape>
            <v:shape id="_x0000_s1041" o:spid="_x0000_s1041" o:spt="12" type="#_x0000_t12" style="position:absolute;left:5765;top:5369;height:200;width:210;" fillcolor="#FF0000" filled="t" stroked="t" coordsize="21600,21600">
              <v:path/>
              <v:fill on="t" focussize="0,0"/>
              <v:stroke weight="1.25pt" color="#FF0000"/>
              <v:imagedata o:title=""/>
              <o:lock v:ext="edit"/>
            </v:shape>
          </v:group>
        </w:pict>
      </w:r>
    </w:p>
    <w:p>
      <w:pPr>
        <w:spacing w:line="540" w:lineRule="exact"/>
        <w:ind w:firstLine="904" w:firstLineChars="200"/>
        <w:rPr>
          <w:rFonts w:hint="eastAsia" w:ascii="方正小标宋简体" w:hAnsi="黑体" w:eastAsia="方正小标宋简体"/>
          <w:spacing w:val="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关于实施岳阳市共青团“青年大学习”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 xml:space="preserve">行动的通知 </w:t>
      </w:r>
    </w:p>
    <w:p>
      <w:pPr>
        <w:widowControl/>
        <w:shd w:val="clear" w:color="auto" w:fill="FFFFFF"/>
        <w:spacing w:line="375" w:lineRule="atLeast"/>
        <w:jc w:val="center"/>
        <w:rPr>
          <w:rFonts w:ascii="Arial Narrow" w:hAnsi="Arial Narrow" w:eastAsia="宋体" w:cs="宋体"/>
          <w:kern w:val="0"/>
          <w:sz w:val="18"/>
          <w:szCs w:val="18"/>
        </w:rPr>
      </w:pPr>
      <w:r>
        <w:rPr>
          <w:rFonts w:hint="eastAsia" w:ascii="Arial Narrow" w:hAnsi="Arial Narrow" w:eastAsia="宋体" w:cs="宋体"/>
          <w:kern w:val="0"/>
          <w:sz w:val="18"/>
          <w:szCs w:val="18"/>
        </w:rPr>
        <w:t xml:space="preserve"> </w:t>
      </w:r>
    </w:p>
    <w:p>
      <w:pPr>
        <w:keepNext w:val="0"/>
        <w:keepLines w:val="0"/>
        <w:pageBreakBefore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各县市区团（工）委，市直各机关团（工）委，中央、省属驻岳单位团委，市属企事业单位团委，各大、中学校团委：</w:t>
      </w:r>
    </w:p>
    <w:p>
      <w:pPr>
        <w:keepNext w:val="0"/>
        <w:keepLines w:val="0"/>
        <w:pageBreakBefore w:val="0"/>
        <w:kinsoku/>
        <w:wordWrap/>
        <w:overflowPunct/>
        <w:topLinePunct w:val="0"/>
        <w:autoSpaceDE/>
        <w:autoSpaceDN/>
        <w:bidi w:val="0"/>
        <w:adjustRightInd/>
        <w:snapToGrid/>
        <w:spacing w:line="500" w:lineRule="exact"/>
        <w:ind w:left="0" w:leftChars="0" w:firstLine="617"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今年是贯彻党的十九大精神的开局之年，是庆祝改革开放40周年，是决胜全面建成小康社会、实施“十三五”规划承上启下的关键一年，为把学习宣传贯彻习近平新时代中国特色社会主义思想和党的十九大精神持续引向深入,按照《共青团中央关于印发〈关于在全团实施“青年大学习”行动的方案〉的通知》（中青发〔2018〕2号）的部署要求，岳阳团市委将组织动员广大团员青年开展“青年大学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17" w:firstLineChars="193"/>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一、</w:t>
      </w:r>
      <w:r>
        <w:rPr>
          <w:rFonts w:hint="eastAsia" w:ascii="黑体" w:hAnsi="黑体" w:eastAsia="黑体" w:cs="黑体"/>
          <w:b w:val="0"/>
          <w:bCs w:val="0"/>
          <w:kern w:val="0"/>
          <w:sz w:val="32"/>
          <w:szCs w:val="32"/>
        </w:rPr>
        <w:t>指导思想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17" w:firstLineChars="193"/>
        <w:jc w:val="both"/>
        <w:textAlignment w:val="auto"/>
        <w:outlineLvl w:val="9"/>
        <w:rPr>
          <w:rFonts w:hint="eastAsia" w:ascii="仿宋_GB2312" w:hAnsi="仿宋_GB2312" w:eastAsia="仿宋_GB2312" w:cs="仿宋_GB2312"/>
          <w:kern w:val="0"/>
          <w:sz w:val="32"/>
          <w:szCs w:val="3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rPr>
        <w:t>用习近平新时代中国特色社会主义思想武装全团、教育青年, 把深入学习宣传贯彻党的十九大精神作为首要政治任务和核心业务,突出理论武装和思想引导, 构建“导学、讲学、研学、比学、践学、督学”六位一体的学习体系, 提升学习的制度化和实效性, 推动党的创新理论深入人心</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引导广大青年不忘初心、牢记使命,坚定不移听党话、跟党走。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17" w:firstLineChars="193"/>
        <w:jc w:val="both"/>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二、具体内容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（一）导学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1.领导带头学。</w:t>
      </w:r>
      <w:r>
        <w:rPr>
          <w:rFonts w:hint="eastAsia" w:ascii="仿宋_GB2312" w:hAnsi="仿宋_GB2312" w:eastAsia="仿宋_GB2312" w:cs="仿宋_GB2312"/>
          <w:kern w:val="0"/>
          <w:sz w:val="32"/>
          <w:szCs w:val="32"/>
        </w:rPr>
        <w:t>严格落实《共青团岳阳市委员会理论学习中心组2018年学习计划》，团的各级领导机关带头开展学习,重点学习习近平新时代中国特色社会主义思想和党的十九大精神、《习近平谈治国理政》第一卷和第二卷、习近平总书记关于青少年和共青团工作的重要论述精神、中央重大会议和重要文件精神等内容。从“十四个坚持”入手，学习领会习近平新时代中国特色社会主义思想是一个系统完整、内涵丰富、逻辑严密的科学理论体系，把握精髓要义，切实用以武装头脑、指导实践。12月底前,团的各级领导机关至少开展5场专题学习活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2.指导基层学。</w:t>
      </w:r>
      <w:r>
        <w:rPr>
          <w:rFonts w:hint="eastAsia" w:ascii="仿宋_GB2312" w:hAnsi="仿宋_GB2312" w:eastAsia="仿宋_GB2312" w:cs="仿宋_GB2312"/>
          <w:kern w:val="0"/>
          <w:sz w:val="32"/>
          <w:szCs w:val="32"/>
        </w:rPr>
        <w:t>推动机关、企事业单位、学校、农村、社区等各领域基层团组织, 以及行业、系统、“两新”、园区等团组织及新兴领域团组织积极行动起来,加强基层组织建设，认真组织召开“三会两制一课”。组织团员青少年通过主题团课、读书分享、在线学习等方式深入学习习近平新时代中国特色社会主义思想和党的十九大精神。充分依托团属网络新媒体平台，开展网络学习活动，利用团市委微信公众号相关栏目加强日常学习。有条件的团组织积极创作生产思想主题鲜明、青年喜闻乐见的图文、漫画、短视频、H5等网络文化产品。五四期间，团中央将推出“青年大学习”微信小程序、《入团第一课》《共青团公开课·三会两制一课》教育视频等产品，团市委将推出相关学习产品，各级团组织要动员青年广泛关注、学习和传播，不断提升学习成效。12月底前，每个基层团组织至少开展3场集中性专题学习活动，县市区团组织领导班子成员至少参加2场基层开展的学习活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3.培训引导学。</w:t>
      </w:r>
      <w:r>
        <w:rPr>
          <w:rFonts w:hint="eastAsia" w:ascii="仿宋_GB2312" w:hAnsi="仿宋_GB2312" w:eastAsia="仿宋_GB2312" w:cs="仿宋_GB2312"/>
          <w:kern w:val="0"/>
          <w:sz w:val="32"/>
          <w:szCs w:val="32"/>
        </w:rPr>
        <w:t>强化团干部的教育和培训,推进“两学一做”学习教育常态化制度化, 把习近平新时代中国特色社会主义思想和党的十九大精神作为团干部教育培训的中心任务, 把传播党的声音、宣传中国特色社会主义和中国梦、学习前沿科技和做好青年工作作为教育培训的基本内容, 面向各层级专职、挂职、兼职团干部和少先队辅导员等开设系列专题培训班, 积极运用网络新媒体开展学习培训, 分层分类开展学习培训, 不断强化学习的质量和成效。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（二）讲学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4.邀请专家授课。</w:t>
      </w:r>
      <w:r>
        <w:rPr>
          <w:rFonts w:hint="eastAsia" w:ascii="仿宋_GB2312" w:hAnsi="仿宋_GB2312" w:eastAsia="仿宋_GB2312" w:cs="仿宋_GB2312"/>
          <w:kern w:val="0"/>
          <w:sz w:val="32"/>
          <w:szCs w:val="32"/>
        </w:rPr>
        <w:t>邀请专家学者深入解析习近平新时代中国特色社会主义思想和党的十九大精神，结合纪念马克思诞辰200周年、纪念改革开放40周年，就相关课题进行专业辅导，将理论知识讲深讲透，加深团干部和团员青年的理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5.组织团干部面向团员青年宣讲。</w:t>
      </w:r>
      <w:r>
        <w:rPr>
          <w:rFonts w:hint="eastAsia" w:ascii="仿宋_GB2312" w:hAnsi="仿宋_GB2312" w:eastAsia="仿宋_GB2312" w:cs="仿宋_GB2312"/>
          <w:kern w:val="0"/>
          <w:sz w:val="32"/>
          <w:szCs w:val="32"/>
        </w:rPr>
        <w:t>开展“不忘初心 牢记使命”主题宣讲，团干部接受专业培训后，在自身学懂弄通的基础上，结合“团干部直接联系青年”工作，到常态化下沉地区、基层团支部等场所，以宣讲大纲为依托，面向团员青年开展小规模、互动式、有特色、接地气的面对面宣讲交流。12月底前，每名专职\挂职干部至少开展3次宣讲交流活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6.开展岳阳优秀青年宣讲。</w:t>
      </w:r>
      <w:r>
        <w:rPr>
          <w:rFonts w:hint="eastAsia" w:ascii="仿宋_GB2312" w:hAnsi="仿宋_GB2312" w:eastAsia="仿宋_GB2312" w:cs="仿宋_GB2312"/>
          <w:kern w:val="0"/>
          <w:sz w:val="32"/>
          <w:szCs w:val="32"/>
        </w:rPr>
        <w:t>建立动态有效的岳阳优秀青年宣讲员选拔培训机制，扩大“新时代 新气象 新作为”岳阳青年宣讲员队伍。岳阳优秀青年宣讲团市级宣讲员全年将宣讲约20场，通过多媒体平台进行宣传展示和广泛传播，让宣讲进企业、进农村、进机关、进校园、进社区、进军营、进网络。宣讲团的宣讲活动要创新宣讲模式，以生动活泼的形式宣讲党的十九大精神。县市区各级单位团组织、各战线根据实际情况组建宣讲团分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7.抓好面向不同青年群体的宣讲。</w:t>
      </w:r>
      <w:r>
        <w:rPr>
          <w:rFonts w:hint="eastAsia" w:ascii="仿宋_GB2312" w:hAnsi="仿宋_GB2312" w:eastAsia="仿宋_GB2312" w:cs="仿宋_GB2312"/>
          <w:kern w:val="0"/>
          <w:sz w:val="32"/>
          <w:szCs w:val="32"/>
        </w:rPr>
        <w:t>坚持分类引导,面向大学生、中学生、中职生等青年学生、职业青年、各领域新兴青年群体、青年社会组织骨干及成员等, 以“四进四信”“青年马克思主义者培养工程”“与信仰对话”“与人生对话”“彩虹人生”等活动和工作为载体, 有针对性地开展宣讲交流, 增强学习的针对性和实效性。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（三）研学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8.推动全团深入开展调查研究。</w:t>
      </w:r>
      <w:r>
        <w:rPr>
          <w:rFonts w:hint="eastAsia" w:ascii="仿宋_GB2312" w:hAnsi="仿宋_GB2312" w:eastAsia="仿宋_GB2312" w:cs="仿宋_GB2312"/>
          <w:kern w:val="0"/>
          <w:sz w:val="32"/>
          <w:szCs w:val="32"/>
        </w:rPr>
        <w:t>坚持把理论学习与专题调研结合起来, 推动各层级、各领域团干部深入青年、深入基层。结合“团干部直接联系青年”工作，到常态化下沉地区研讨重点青少年群体和基层团组织建设等重要问题，结合实际撰写学习心得、调研报告或者理论文章,制定有针对性的工作举措，为做好青年群众工作提供决策参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9.开展青年主题研讨交流。</w:t>
      </w:r>
      <w:r>
        <w:rPr>
          <w:rFonts w:hint="eastAsia" w:ascii="仿宋_GB2312" w:hAnsi="仿宋_GB2312" w:eastAsia="仿宋_GB2312" w:cs="仿宋_GB2312"/>
          <w:kern w:val="0"/>
          <w:sz w:val="32"/>
          <w:szCs w:val="32"/>
        </w:rPr>
        <w:t>组织各行各业青年聚焦担当民族复兴大任, 以“强国一代的使命与担当”“新时代青年说”等为主题, 在线上线下广泛开展大讨论活动, 通过主题团课和交流会、分享会, 开展网上话题讨论、自媒体传播、文化产品推广等, 引导广大青年结合实际和所思所想, 明确自己成长奋斗的目标和方向。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 比学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10.组织青年向典型模范学习。</w:t>
      </w:r>
      <w:r>
        <w:rPr>
          <w:rFonts w:hint="eastAsia" w:ascii="仿宋_GB2312" w:hAnsi="仿宋_GB2312" w:eastAsia="仿宋_GB2312" w:cs="仿宋_GB2312"/>
          <w:kern w:val="0"/>
          <w:sz w:val="32"/>
          <w:szCs w:val="32"/>
        </w:rPr>
        <w:t>面向各行各业和基层一线,持续深入开展“青年岗位能手”“向上向善好青年”“中国青年好网民”等推选活动, 广泛开展青年典型故事分享活动, 通过多媒体宣传、文化产品推广等方式, 大力宣传他们可亲、可信、可学的奋斗故事, 为广大青年更加自觉地听党话、跟党走树立学习标杆, 引导和动员青年在全面建成小康社会决胜阶段发挥生力军作用。各县市区团委、各战线根据实际情况组织开展好本地区、本战线的青年典型选树和宣传活动。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11.引导青年在今昔对比、中外对比中学习。</w:t>
      </w:r>
      <w:r>
        <w:rPr>
          <w:rFonts w:hint="eastAsia" w:ascii="仿宋_GB2312" w:hAnsi="仿宋_GB2312" w:eastAsia="仿宋_GB2312" w:cs="仿宋_GB2312"/>
          <w:kern w:val="0"/>
          <w:sz w:val="32"/>
          <w:szCs w:val="32"/>
        </w:rPr>
        <w:t>组织基层一线青年尤其是在校大学生参观岳阳经济社会发展的大工程、大民生项目, 充分了解党的十八大以来“砥砺奋进的五年”中我国各领域发展取得的伟大成就, 积极引导青年增进“四个自信”和“三个认同”。引导青年在中外对比中正确认识世界和中国发展大势, 正确认识中国特色和国际比较, 正确认识时代责任和历史使命, 正确认识远大抱负和脚踏实地, 深刻领会习近平新时代中国特色社会主义思想和党的十九大精神，讲好中国故事，传播中国声音。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(五)践学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12.动员广大青年在践行文明新风的行动中提升素养。</w:t>
      </w:r>
      <w:r>
        <w:rPr>
          <w:rFonts w:hint="eastAsia" w:ascii="仿宋_GB2312" w:hAnsi="仿宋_GB2312" w:eastAsia="仿宋_GB2312" w:cs="仿宋_GB2312"/>
          <w:kern w:val="0"/>
          <w:sz w:val="32"/>
          <w:szCs w:val="32"/>
        </w:rPr>
        <w:t>将志愿服务作为青少年践行社会主义核心价值观的重要载体，推动志愿服务走进社区工作覆盖全市，促进志愿服务制度化常态化。在全市推广清洁空气、保护河湖、文明出行 “青年行动”，组织青年参与文明城市建设</w:t>
      </w:r>
      <w:bookmarkStart w:id="0" w:name="_GoBack"/>
      <w:bookmarkEnd w:id="0"/>
      <w:r>
        <w:rPr>
          <w:rFonts w:hint="eastAsia" w:ascii="仿宋_GB2312" w:hAnsi="仿宋_GB2312" w:eastAsia="仿宋_GB2312" w:cs="仿宋_GB2312"/>
          <w:kern w:val="0"/>
          <w:sz w:val="32"/>
          <w:szCs w:val="32"/>
        </w:rPr>
        <w:t>专项行动、打好污染防治攻坚战。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13.带领广大青年在深入基层一线的实践中锤炼本领。</w:t>
      </w:r>
      <w:r>
        <w:rPr>
          <w:rFonts w:hint="eastAsia" w:ascii="仿宋_GB2312" w:hAnsi="仿宋_GB2312" w:eastAsia="仿宋_GB2312" w:cs="仿宋_GB2312"/>
          <w:kern w:val="0"/>
          <w:sz w:val="32"/>
          <w:szCs w:val="32"/>
        </w:rPr>
        <w:t>聚焦城市重点工程，组织青年突击队主动担当作为。持续深化全国大中专学生暑期“三下乡”社会实践等工作, 组织青年学生在实践锻炼中接受教育、坚定信念。大力开展共青团助力脱贫攻坚工作,开展好对口支援合作。强化广大青年在基层一线和困难艰苦地方的学习锻炼, 推动青年在实践中担当历练、积累经验。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14.引导广大青年在创新创业创优的奋斗中实现价值。</w:t>
      </w:r>
      <w:r>
        <w:rPr>
          <w:rFonts w:hint="eastAsia" w:ascii="仿宋_GB2312" w:hAnsi="仿宋_GB2312" w:eastAsia="仿宋_GB2312" w:cs="仿宋_GB2312"/>
          <w:kern w:val="0"/>
          <w:sz w:val="32"/>
          <w:szCs w:val="32"/>
        </w:rPr>
        <w:t>动员青年科技工作者参与国家重大技术攻关和重点科技创新工程建设。积极选树优秀青年人才典型，举办创业大赛，健全创新创业团队的发现和孵化机制。深化青年文明号、青年创新工作站等品牌创建活动，引导在职青年立足岗位创新创效创优。教育引导广大青年进一步提升创新意识, 增强创业本领和专业性技能, 把学理论、强思想与学技能、会创新有效结合起来, 带动更多青年大力弘扬创新精神，为建设和谐宜居之都贡献青春力量。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（六）督学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15.加强督导考核。</w:t>
      </w:r>
      <w:r>
        <w:rPr>
          <w:rFonts w:hint="eastAsia" w:ascii="仿宋_GB2312" w:hAnsi="仿宋_GB2312" w:eastAsia="仿宋_GB2312" w:cs="仿宋_GB2312"/>
          <w:kern w:val="0"/>
          <w:sz w:val="32"/>
          <w:szCs w:val="32"/>
        </w:rPr>
        <w:t>把开展“青年大学习”的情况列为对团组织考核的重要内容，通过“走进青年、转变作风、改进工作”、常态化下沉基层、日常调研等方式，适时对各单位开展的情况进行巡查和督导，推动工作落细落实出成效。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17" w:firstLineChars="193"/>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三、工作要求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第一，高度重视，认真组织。</w:t>
      </w:r>
      <w:r>
        <w:rPr>
          <w:rFonts w:hint="eastAsia" w:ascii="仿宋_GB2312" w:hAnsi="仿宋_GB2312" w:eastAsia="仿宋_GB2312" w:cs="仿宋_GB2312"/>
          <w:kern w:val="0"/>
          <w:sz w:val="32"/>
          <w:szCs w:val="32"/>
        </w:rPr>
        <w:t>开展“青年大学习”是将学习宣传贯彻习近平新时代中国特色社会主义思想和党的十九大精神持续引向深入的重要举措。各级团组织要高度重视，切实加强组织领导和统筹协调，融入全年工作大局，做好全年计划并确保实施，充分发挥组织优势，最大限度地发动各行业、各领域团员青年广泛参与。全年日常学习的同时，要在五四青年节集中开展“青年大学习”五四主题团日活动，结合实际，精心设计，认真组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第二，扩大覆盖，增强实效。</w:t>
      </w:r>
      <w:r>
        <w:rPr>
          <w:rFonts w:hint="eastAsia" w:ascii="仿宋_GB2312" w:hAnsi="仿宋_GB2312" w:eastAsia="仿宋_GB2312" w:cs="仿宋_GB2312"/>
          <w:kern w:val="0"/>
          <w:sz w:val="32"/>
          <w:szCs w:val="32"/>
        </w:rPr>
        <w:t>要注重“青年大学习”的针对性、生动性和实效性，尊重青年主体地位，把突出思想内涵与创新活动载体紧密结合起来，综合运用日常培训、专家授课、集体宣讲、调研学习等多种方式，充分利用新媒体网络学习平台，最大范围地覆盖广大团员青年群体，引导团员青年准确领会、深刻理解习近平新时代中国特色社会主义思想和党的十九大精神，并转化为内心认同和实际行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20" w:firstLineChars="193"/>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第三，把牢导向，扩大宣传。</w:t>
      </w:r>
      <w:r>
        <w:rPr>
          <w:rFonts w:hint="eastAsia" w:ascii="仿宋_GB2312" w:hAnsi="仿宋_GB2312" w:eastAsia="仿宋_GB2312" w:cs="仿宋_GB2312"/>
          <w:kern w:val="0"/>
          <w:sz w:val="32"/>
          <w:szCs w:val="32"/>
        </w:rPr>
        <w:t>要牢牢把握正确的舆论导向，强化正面教育和引导，积极壮大主流舆论声音。主动融入全市大宣传工作格局，将开展“青年大学习”的情况通过传统媒体和新媒体进行综合宣传，打造青少年思想教育引导品牌，营造浓厚的舆论氛围，扩大影响力，增强获得感。要严格贯彻中央“八项规定”精神，坚持务实节俭，防止形式主义。要注意加强对集中性活动的安全管理，确保活动安全有序。各级团组织可以将“青年大学习”的好品牌、好活动、好项目、典型人物、优秀事迹等，及时报送到团市委宣传部。团市委将通过多种宣传媒介，适时择优进行深入宣传报道。</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79" w:firstLineChars="181"/>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联系人：团市委宣传部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79" w:firstLineChars="181"/>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07308889464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79" w:firstLineChars="181"/>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邮</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箱</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yygqtxcb@sina.com</w:t>
      </w:r>
      <w:r>
        <w:rPr>
          <w:rFonts w:hint="eastAsia" w:ascii="仿宋_GB2312" w:hAnsi="仿宋_GB2312" w:eastAsia="仿宋_GB2312" w:cs="仿宋_GB2312"/>
          <w:sz w:val="32"/>
          <w:szCs w:val="32"/>
          <w:lang w:eastAsia="zh-CN"/>
        </w:rPr>
        <w:t>。</w:t>
      </w:r>
    </w:p>
    <w:p>
      <w:pPr>
        <w:widowControl/>
        <w:shd w:val="clear" w:color="auto" w:fill="FFFFFF"/>
        <w:spacing w:before="300" w:after="300" w:line="375" w:lineRule="atLeast"/>
        <w:jc w:val="left"/>
        <w:rPr>
          <w:rFonts w:ascii="Arial Narrow" w:hAnsi="Arial Narrow" w:eastAsia="宋体" w:cs="宋体"/>
          <w:kern w:val="0"/>
          <w:szCs w:val="21"/>
        </w:rPr>
      </w:pPr>
      <w:r>
        <w:rPr>
          <w:rFonts w:hint="eastAsia" w:ascii="Arial Narrow" w:hAnsi="Arial Narrow" w:eastAsia="宋体" w:cs="宋体"/>
          <w:kern w:val="0"/>
          <w:szCs w:val="21"/>
        </w:rPr>
        <w:t xml:space="preserve"> </w:t>
      </w:r>
    </w:p>
    <w:p>
      <w:pPr>
        <w:widowControl/>
        <w:shd w:val="clear" w:color="auto" w:fill="FFFFFF"/>
        <w:spacing w:before="300" w:after="300" w:line="375" w:lineRule="atLeast"/>
        <w:jc w:val="left"/>
        <w:rPr>
          <w:rFonts w:hint="eastAsia" w:ascii="仿宋_GB2312" w:hAnsi="仿宋_GB2312" w:eastAsia="仿宋_GB2312" w:cs="仿宋_GB2312"/>
          <w:kern w:val="0"/>
          <w:sz w:val="32"/>
          <w:szCs w:val="32"/>
          <w:lang w:val="en-US" w:eastAsia="zh-CN"/>
        </w:rPr>
      </w:pPr>
      <w:r>
        <w:rPr>
          <w:rFonts w:ascii="Arial Narrow" w:hAnsi="Arial Narrow" w:eastAsia="宋体" w:cs="宋体"/>
          <w:kern w:val="0"/>
          <w:szCs w:val="21"/>
        </w:rPr>
        <w:t> </w:t>
      </w:r>
      <w:r>
        <w:rPr>
          <w:rFonts w:hint="eastAsia" w:ascii="Arial Narrow" w:hAnsi="Arial Narrow" w:eastAsia="宋体" w:cs="宋体"/>
          <w:kern w:val="0"/>
          <w:szCs w:val="21"/>
          <w:lang w:val="en-US" w:eastAsia="zh-CN"/>
        </w:rPr>
        <w:t xml:space="preserve">                                          </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firstLine="4800" w:firstLineChars="15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共青团岳阳市委员会</w:t>
      </w:r>
    </w:p>
    <w:p>
      <w:pPr>
        <w:keepNext w:val="0"/>
        <w:keepLines w:val="0"/>
        <w:pageBreakBefore w:val="0"/>
        <w:widowControl/>
        <w:shd w:val="clear" w:color="auto" w:fill="FFFFFF"/>
        <w:kinsoku/>
        <w:wordWrap/>
        <w:overflowPunct/>
        <w:topLinePunct w:val="0"/>
        <w:autoSpaceDE/>
        <w:autoSpaceDN/>
        <w:bidi w:val="0"/>
        <w:adjustRightInd/>
        <w:snapToGrid/>
        <w:spacing w:line="375" w:lineRule="atLeast"/>
        <w:ind w:left="0" w:leftChars="0" w:firstLine="4998" w:firstLineChars="1562"/>
        <w:jc w:val="left"/>
        <w:textAlignment w:val="auto"/>
        <w:outlineLvl w:val="9"/>
      </w:pPr>
      <w:r>
        <w:rPr>
          <w:rFonts w:hint="eastAsia" w:ascii="仿宋_GB2312" w:hAnsi="仿宋_GB2312" w:eastAsia="仿宋_GB2312" w:cs="仿宋_GB2312"/>
          <w:kern w:val="0"/>
          <w:sz w:val="32"/>
          <w:szCs w:val="32"/>
        </w:rPr>
        <w:t>2018年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sectPr>
      <w:footerReference r:id="rId5"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50602020203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5E24"/>
    <w:rsid w:val="00416209"/>
    <w:rsid w:val="00495E24"/>
    <w:rsid w:val="005141ED"/>
    <w:rsid w:val="00AA0E5B"/>
    <w:rsid w:val="00C13AB7"/>
    <w:rsid w:val="04BE79AB"/>
    <w:rsid w:val="114E0E2A"/>
    <w:rsid w:val="14B206EA"/>
    <w:rsid w:val="1A2F7F2B"/>
    <w:rsid w:val="1B07501E"/>
    <w:rsid w:val="214A7333"/>
    <w:rsid w:val="2EB2374D"/>
    <w:rsid w:val="321E1EA9"/>
    <w:rsid w:val="33655529"/>
    <w:rsid w:val="48D62779"/>
    <w:rsid w:val="58A83F78"/>
    <w:rsid w:val="632C38C0"/>
    <w:rsid w:val="73A53A43"/>
    <w:rsid w:val="750344BD"/>
    <w:rsid w:val="7E54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Info spid="_x0000_s1034"/>
    <customShpInfo spid="_x0000_s1035"/>
    <customShpInfo spid="_x0000_s1036"/>
    <customShpInfo spid="_x0000_s1038"/>
    <customShpInfo spid="_x0000_s1039"/>
    <customShpInfo spid="_x0000_s1040"/>
    <customShpInfo spid="_x0000_s1041"/>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607</Words>
  <Characters>3462</Characters>
  <Lines>28</Lines>
  <Paragraphs>8</Paragraphs>
  <TotalTime>3</TotalTime>
  <ScaleCrop>false</ScaleCrop>
  <LinksUpToDate>false</LinksUpToDate>
  <CharactersWithSpaces>4061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2018-05-10T03:38:00Z</dcterms:created>
  <dc:creator>PC</dc:creator>
  <cp:lastModifiedBy>elaine</cp:lastModifiedBy>
  <cp:lastPrinted>2018-07-12T01:41:00Z</cp:lastPrinted>
  <dcterms:modified xsi:type="dcterms:W3CDTF">2018-07-12T07:52:29Z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